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57EF7E64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133332">
        <w:rPr>
          <w:b/>
        </w:rPr>
        <w:t>3</w:t>
      </w:r>
      <w:r w:rsidR="009B35EB">
        <w:rPr>
          <w:b/>
        </w:rPr>
        <w:t>/2019</w:t>
      </w:r>
    </w:p>
    <w:p w14:paraId="1C40C577" w14:textId="77777777" w:rsidR="008A1BEF" w:rsidRDefault="008A1BEF" w:rsidP="008A1BEF">
      <w:pPr>
        <w:pStyle w:val="Bezmezer"/>
      </w:pPr>
    </w:p>
    <w:p w14:paraId="781A0DAA" w14:textId="2F524882" w:rsidR="00A329A6" w:rsidRDefault="008A1BEF" w:rsidP="008A1BEF">
      <w:pPr>
        <w:pStyle w:val="Bezmezer"/>
      </w:pPr>
      <w:r>
        <w:t>Na základě zákona o rozpočtových pravidlech č. 250/2000 Sb., a § 16 bude schválený rozpočet změněn u níže uvedených položek a paragrafů.</w:t>
      </w:r>
    </w:p>
    <w:p w14:paraId="23D8F38F" w14:textId="02B45F06" w:rsidR="00133332" w:rsidRDefault="009B35EB" w:rsidP="008A1BEF">
      <w:pPr>
        <w:pStyle w:val="Bezmezer"/>
        <w:rPr>
          <w:b/>
        </w:rPr>
      </w:pPr>
      <w:proofErr w:type="gramStart"/>
      <w:r w:rsidRPr="009B35EB">
        <w:rPr>
          <w:b/>
        </w:rPr>
        <w:t>Komentář :</w:t>
      </w:r>
      <w:proofErr w:type="gramEnd"/>
      <w:r w:rsidRPr="009B35EB">
        <w:rPr>
          <w:b/>
        </w:rPr>
        <w:t xml:space="preserve"> </w:t>
      </w:r>
    </w:p>
    <w:p w14:paraId="2C51B05F" w14:textId="26EEBF28" w:rsidR="00206BF1" w:rsidRDefault="00133332" w:rsidP="008A1BEF">
      <w:pPr>
        <w:pStyle w:val="Bezmezer"/>
      </w:pPr>
      <w:r w:rsidRPr="00133332">
        <w:t>Na základě Dohody o vytvoření pracovních příležitostí v rámci veřejně prospěšných prací a poskytnutí příspěvku č. NJ</w:t>
      </w:r>
      <w:r>
        <w:rPr>
          <w:caps/>
        </w:rPr>
        <w:t>A</w:t>
      </w:r>
      <w:r w:rsidRPr="00133332">
        <w:t xml:space="preserve"> – </w:t>
      </w:r>
      <w:proofErr w:type="gramStart"/>
      <w:r w:rsidRPr="00133332">
        <w:t>V – 17</w:t>
      </w:r>
      <w:proofErr w:type="gramEnd"/>
      <w:r w:rsidRPr="00133332">
        <w:t>/2019 s Úřadem práce Nový Jičín</w:t>
      </w:r>
      <w:r>
        <w:t>, obdrží obec příspěvek na VPP 1 pracovník na období od 1.5.2019 do 30.10.2019 v maximální výši Kč 67 500.--.</w:t>
      </w:r>
    </w:p>
    <w:p w14:paraId="08D34CA5" w14:textId="77777777" w:rsidR="00133332" w:rsidRPr="00133332" w:rsidRDefault="00133332" w:rsidP="008A1BEF">
      <w:pPr>
        <w:pStyle w:val="Bezmezer"/>
      </w:pPr>
    </w:p>
    <w:p w14:paraId="25F791AA" w14:textId="737E7629" w:rsidR="00133332" w:rsidRDefault="00133332" w:rsidP="008A1BEF">
      <w:pPr>
        <w:pStyle w:val="Bezmezer"/>
      </w:pPr>
      <w:r>
        <w:t>Na základě Rozhodnutí MF o poskytnutí dotace čj. MF – 7779/2019/1201-14 ze dne 16.4.2019 obdrží obec neinvestiční dotaci ve výši Kč 29 000,--. Dotace je určená na úhradu výdajů v souvislosti s konáním voleb do Evropského parlamentu ve dnech 24.5. a 25.5.2019.</w:t>
      </w:r>
    </w:p>
    <w:p w14:paraId="60F5A2A5" w14:textId="308233B9" w:rsidR="00206BF1" w:rsidRDefault="00206BF1" w:rsidP="008A1BEF">
      <w:pPr>
        <w:pStyle w:val="Bezmezer"/>
      </w:pPr>
    </w:p>
    <w:p w14:paraId="0E06FC61" w14:textId="63D34164" w:rsidR="00133332" w:rsidRPr="00151DC7" w:rsidRDefault="00133332" w:rsidP="008A1BEF">
      <w:pPr>
        <w:pStyle w:val="Bezmezer"/>
        <w:rPr>
          <w:b/>
        </w:rPr>
      </w:pPr>
      <w:r w:rsidRPr="00151DC7">
        <w:rPr>
          <w:b/>
        </w:rPr>
        <w:t>Příjmová část</w:t>
      </w:r>
    </w:p>
    <w:p w14:paraId="3A8087A0" w14:textId="088CD630" w:rsidR="00133332" w:rsidRDefault="00133332" w:rsidP="008A1BEF">
      <w:pPr>
        <w:pStyle w:val="Bezmezer"/>
      </w:pPr>
      <w:r>
        <w:t xml:space="preserve">Položka 4116 </w:t>
      </w:r>
      <w:proofErr w:type="gramStart"/>
      <w:r>
        <w:t>-  ostatní</w:t>
      </w:r>
      <w:proofErr w:type="gramEnd"/>
      <w:r>
        <w:t xml:space="preserve"> neinvestiční přijaté transfery ze SR, navýšení o Kč 67 500,--</w:t>
      </w:r>
    </w:p>
    <w:p w14:paraId="12405D93" w14:textId="0E0E856F" w:rsidR="00133332" w:rsidRDefault="00133332" w:rsidP="008A1BEF">
      <w:pPr>
        <w:pStyle w:val="Bezmezer"/>
      </w:pPr>
      <w:r>
        <w:t>Položka 4111 – neinvestiční přijaté transfery z všeobecné pokladní správy SR</w:t>
      </w:r>
    </w:p>
    <w:p w14:paraId="6BF54915" w14:textId="77777777" w:rsidR="00133332" w:rsidRPr="00206BF1" w:rsidRDefault="00133332" w:rsidP="008A1BEF">
      <w:pPr>
        <w:pStyle w:val="Bezmezer"/>
      </w:pPr>
    </w:p>
    <w:p w14:paraId="62504823" w14:textId="5FAB9E66" w:rsidR="009448D7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</w:p>
    <w:p w14:paraId="401C9E50" w14:textId="24F249CB" w:rsidR="00151DC7" w:rsidRPr="009448D7" w:rsidRDefault="009B35EB" w:rsidP="008A1BEF">
      <w:pPr>
        <w:pStyle w:val="Bezmezer"/>
      </w:pPr>
      <w:r w:rsidRPr="009448D7">
        <w:t xml:space="preserve">Paragraf </w:t>
      </w:r>
      <w:r w:rsidR="00133332">
        <w:t xml:space="preserve">3639 </w:t>
      </w:r>
      <w:r w:rsidR="00151DC7">
        <w:t>–</w:t>
      </w:r>
      <w:r w:rsidR="00133332">
        <w:t xml:space="preserve"> </w:t>
      </w:r>
      <w:r w:rsidR="00151DC7">
        <w:t>komunální služby a územní rozvoj navýšení o Kč 67 500,--</w:t>
      </w:r>
    </w:p>
    <w:p w14:paraId="07B509B7" w14:textId="1DCBB32F" w:rsidR="00A329A6" w:rsidRDefault="009448D7" w:rsidP="008A1BEF">
      <w:pPr>
        <w:pStyle w:val="Bezmezer"/>
      </w:pPr>
      <w:r>
        <w:t>Paragraf</w:t>
      </w:r>
      <w:r w:rsidR="00151DC7">
        <w:t xml:space="preserve"> 6117</w:t>
      </w:r>
      <w:r>
        <w:t xml:space="preserve"> – </w:t>
      </w:r>
      <w:r w:rsidR="00151DC7">
        <w:t>volby do Evropského parlamentu navýšení o Kč 29 000,--</w:t>
      </w:r>
    </w:p>
    <w:p w14:paraId="47425C7E" w14:textId="77777777" w:rsidR="00A329A6" w:rsidRDefault="00A329A6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77777777" w:rsidR="00D97890" w:rsidRDefault="00D97890" w:rsidP="008A1BEF">
      <w:pPr>
        <w:pStyle w:val="Bezmezer"/>
      </w:pPr>
      <w:r>
        <w:t xml:space="preserve">P – </w:t>
      </w:r>
      <w:r w:rsidR="009B35EB">
        <w:t xml:space="preserve">  7 271 341,86 Kč</w:t>
      </w:r>
    </w:p>
    <w:p w14:paraId="75D2239F" w14:textId="77777777" w:rsidR="00D97890" w:rsidRDefault="00D97890" w:rsidP="008A1BEF">
      <w:pPr>
        <w:pStyle w:val="Bezmezer"/>
      </w:pPr>
      <w:r>
        <w:t>V</w:t>
      </w:r>
      <w:r w:rsidR="009B35EB">
        <w:t xml:space="preserve"> -    7 312 000,97 Kč</w:t>
      </w:r>
    </w:p>
    <w:p w14:paraId="19AD8918" w14:textId="77777777" w:rsidR="00D97890" w:rsidRDefault="00D97890" w:rsidP="008A1BEF">
      <w:pPr>
        <w:pStyle w:val="Bezmezer"/>
      </w:pPr>
      <w:r>
        <w:t>F –</w:t>
      </w:r>
      <w:r w:rsidR="009B35EB">
        <w:t xml:space="preserve">     </w:t>
      </w:r>
      <w:r>
        <w:t xml:space="preserve"> </w:t>
      </w:r>
      <w:r w:rsidR="009B35EB">
        <w:t xml:space="preserve">   40 659,11 Kč </w:t>
      </w:r>
    </w:p>
    <w:p w14:paraId="31711AC9" w14:textId="12695BC5" w:rsidR="00A329A6" w:rsidRDefault="00A329A6" w:rsidP="008A1BEF">
      <w:pPr>
        <w:pStyle w:val="Bezmezer"/>
      </w:pPr>
    </w:p>
    <w:p w14:paraId="4B4FC183" w14:textId="55E890D6" w:rsidR="00151DC7" w:rsidRDefault="00151DC7" w:rsidP="008A1BEF">
      <w:pPr>
        <w:pStyle w:val="Bezmezer"/>
        <w:rPr>
          <w:b/>
        </w:rPr>
      </w:pPr>
      <w:r w:rsidRPr="00151DC7">
        <w:rPr>
          <w:b/>
        </w:rPr>
        <w:t>Příjmová část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51DC7" w14:paraId="07DCE67D" w14:textId="77777777" w:rsidTr="00151DC7">
        <w:tc>
          <w:tcPr>
            <w:tcW w:w="1812" w:type="dxa"/>
          </w:tcPr>
          <w:p w14:paraId="6631551B" w14:textId="718E8700" w:rsidR="00151DC7" w:rsidRPr="00151DC7" w:rsidRDefault="00151DC7" w:rsidP="008A1BEF">
            <w:pPr>
              <w:pStyle w:val="Bezmezer"/>
            </w:pPr>
            <w:r w:rsidRPr="00151DC7">
              <w:t>účet</w:t>
            </w:r>
          </w:p>
        </w:tc>
        <w:tc>
          <w:tcPr>
            <w:tcW w:w="1812" w:type="dxa"/>
          </w:tcPr>
          <w:p w14:paraId="0D9AE8D1" w14:textId="51BB8C0B" w:rsidR="00151DC7" w:rsidRPr="00151DC7" w:rsidRDefault="00151DC7" w:rsidP="008A1BEF">
            <w:pPr>
              <w:pStyle w:val="Bezmezer"/>
            </w:pPr>
            <w:r w:rsidRPr="00151DC7">
              <w:t>paragraf</w:t>
            </w:r>
          </w:p>
        </w:tc>
        <w:tc>
          <w:tcPr>
            <w:tcW w:w="1812" w:type="dxa"/>
          </w:tcPr>
          <w:p w14:paraId="0AE26502" w14:textId="6480D9F6" w:rsidR="00151DC7" w:rsidRPr="00151DC7" w:rsidRDefault="00151DC7" w:rsidP="008A1BEF">
            <w:pPr>
              <w:pStyle w:val="Bezmezer"/>
            </w:pPr>
            <w:r w:rsidRPr="00151DC7">
              <w:t>položka</w:t>
            </w:r>
          </w:p>
        </w:tc>
        <w:tc>
          <w:tcPr>
            <w:tcW w:w="1813" w:type="dxa"/>
          </w:tcPr>
          <w:p w14:paraId="2A49B15B" w14:textId="5162343F" w:rsidR="00151DC7" w:rsidRPr="00151DC7" w:rsidRDefault="00151DC7" w:rsidP="008A1BEF">
            <w:pPr>
              <w:pStyle w:val="Bezmezer"/>
            </w:pPr>
            <w:r w:rsidRPr="00151DC7">
              <w:t>UZ</w:t>
            </w:r>
          </w:p>
        </w:tc>
        <w:tc>
          <w:tcPr>
            <w:tcW w:w="1813" w:type="dxa"/>
          </w:tcPr>
          <w:p w14:paraId="6825A94D" w14:textId="7964BF23" w:rsidR="00151DC7" w:rsidRPr="00151DC7" w:rsidRDefault="00151DC7" w:rsidP="008A1BEF">
            <w:pPr>
              <w:pStyle w:val="Bezmezer"/>
            </w:pPr>
            <w:r w:rsidRPr="00151DC7">
              <w:t>Rozpočtové opatření</w:t>
            </w:r>
          </w:p>
        </w:tc>
      </w:tr>
      <w:tr w:rsidR="00151DC7" w:rsidRPr="00151DC7" w14:paraId="4BB4E1B9" w14:textId="77777777" w:rsidTr="00151DC7">
        <w:tc>
          <w:tcPr>
            <w:tcW w:w="1812" w:type="dxa"/>
          </w:tcPr>
          <w:p w14:paraId="4082F206" w14:textId="61FFDF00" w:rsidR="00151DC7" w:rsidRPr="00151DC7" w:rsidRDefault="00151DC7" w:rsidP="008A1BEF">
            <w:pPr>
              <w:pStyle w:val="Bezmezer"/>
            </w:pPr>
            <w:r w:rsidRPr="00151DC7">
              <w:t>231-11</w:t>
            </w:r>
          </w:p>
        </w:tc>
        <w:tc>
          <w:tcPr>
            <w:tcW w:w="1812" w:type="dxa"/>
          </w:tcPr>
          <w:p w14:paraId="7A8B94E3" w14:textId="77777777" w:rsidR="00151DC7" w:rsidRPr="00151DC7" w:rsidRDefault="00151DC7" w:rsidP="008A1BEF">
            <w:pPr>
              <w:pStyle w:val="Bezmezer"/>
            </w:pPr>
          </w:p>
        </w:tc>
        <w:tc>
          <w:tcPr>
            <w:tcW w:w="1812" w:type="dxa"/>
          </w:tcPr>
          <w:p w14:paraId="57DBB7F5" w14:textId="59243398" w:rsidR="00151DC7" w:rsidRPr="00151DC7" w:rsidRDefault="00151DC7" w:rsidP="008A1BEF">
            <w:pPr>
              <w:pStyle w:val="Bezmezer"/>
            </w:pPr>
            <w:r w:rsidRPr="00151DC7">
              <w:t>4116</w:t>
            </w:r>
          </w:p>
        </w:tc>
        <w:tc>
          <w:tcPr>
            <w:tcW w:w="1813" w:type="dxa"/>
          </w:tcPr>
          <w:p w14:paraId="232D16A2" w14:textId="17480137" w:rsidR="00151DC7" w:rsidRPr="00151DC7" w:rsidRDefault="00151DC7" w:rsidP="008A1BEF">
            <w:pPr>
              <w:pStyle w:val="Bezmezer"/>
            </w:pPr>
            <w:r w:rsidRPr="00151DC7">
              <w:t>13101</w:t>
            </w:r>
          </w:p>
        </w:tc>
        <w:tc>
          <w:tcPr>
            <w:tcW w:w="1813" w:type="dxa"/>
          </w:tcPr>
          <w:p w14:paraId="13CA1C85" w14:textId="28C22232" w:rsidR="00151DC7" w:rsidRPr="00151DC7" w:rsidRDefault="00151DC7" w:rsidP="008A1BEF">
            <w:pPr>
              <w:pStyle w:val="Bezmezer"/>
            </w:pPr>
            <w:r w:rsidRPr="00151DC7">
              <w:t>67 500,00</w:t>
            </w:r>
          </w:p>
        </w:tc>
      </w:tr>
      <w:tr w:rsidR="00151DC7" w:rsidRPr="00151DC7" w14:paraId="0D030A5D" w14:textId="77777777" w:rsidTr="00151DC7">
        <w:tc>
          <w:tcPr>
            <w:tcW w:w="1812" w:type="dxa"/>
          </w:tcPr>
          <w:p w14:paraId="75445404" w14:textId="47AD249F" w:rsidR="00151DC7" w:rsidRPr="00151DC7" w:rsidRDefault="00151DC7" w:rsidP="008A1BEF">
            <w:pPr>
              <w:pStyle w:val="Bezmezer"/>
            </w:pPr>
            <w:r w:rsidRPr="00151DC7">
              <w:t>231-11</w:t>
            </w:r>
          </w:p>
        </w:tc>
        <w:tc>
          <w:tcPr>
            <w:tcW w:w="1812" w:type="dxa"/>
          </w:tcPr>
          <w:p w14:paraId="5958072D" w14:textId="77777777" w:rsidR="00151DC7" w:rsidRPr="00151DC7" w:rsidRDefault="00151DC7" w:rsidP="008A1BEF">
            <w:pPr>
              <w:pStyle w:val="Bezmezer"/>
            </w:pPr>
          </w:p>
        </w:tc>
        <w:tc>
          <w:tcPr>
            <w:tcW w:w="1812" w:type="dxa"/>
          </w:tcPr>
          <w:p w14:paraId="21182E94" w14:textId="210405D2" w:rsidR="00151DC7" w:rsidRPr="00151DC7" w:rsidRDefault="00151DC7" w:rsidP="008A1BEF">
            <w:pPr>
              <w:pStyle w:val="Bezmezer"/>
            </w:pPr>
            <w:r w:rsidRPr="00151DC7">
              <w:t>4111</w:t>
            </w:r>
          </w:p>
        </w:tc>
        <w:tc>
          <w:tcPr>
            <w:tcW w:w="1813" w:type="dxa"/>
          </w:tcPr>
          <w:p w14:paraId="37BFA674" w14:textId="535D6C06" w:rsidR="00151DC7" w:rsidRPr="00151DC7" w:rsidRDefault="00151DC7" w:rsidP="008A1BEF">
            <w:pPr>
              <w:pStyle w:val="Bezmezer"/>
            </w:pPr>
            <w:r w:rsidRPr="00151DC7">
              <w:t>98348</w:t>
            </w:r>
          </w:p>
        </w:tc>
        <w:tc>
          <w:tcPr>
            <w:tcW w:w="1813" w:type="dxa"/>
          </w:tcPr>
          <w:p w14:paraId="4E617CF1" w14:textId="67B596AB" w:rsidR="00151DC7" w:rsidRPr="00151DC7" w:rsidRDefault="00151DC7" w:rsidP="008A1BEF">
            <w:pPr>
              <w:pStyle w:val="Bezmezer"/>
            </w:pPr>
            <w:r w:rsidRPr="00151DC7">
              <w:t>29 000,00</w:t>
            </w:r>
          </w:p>
        </w:tc>
      </w:tr>
      <w:tr w:rsidR="00151DC7" w:rsidRPr="00151DC7" w14:paraId="0D5D6B61" w14:textId="77777777" w:rsidTr="00151DC7">
        <w:tc>
          <w:tcPr>
            <w:tcW w:w="1812" w:type="dxa"/>
          </w:tcPr>
          <w:p w14:paraId="48B138F9" w14:textId="3FA5963F" w:rsidR="00151DC7" w:rsidRPr="00151DC7" w:rsidRDefault="00151DC7" w:rsidP="008A1BEF">
            <w:pPr>
              <w:pStyle w:val="Bezmezer"/>
            </w:pPr>
            <w:r w:rsidRPr="00151DC7">
              <w:t>Celkem</w:t>
            </w:r>
          </w:p>
        </w:tc>
        <w:tc>
          <w:tcPr>
            <w:tcW w:w="1812" w:type="dxa"/>
          </w:tcPr>
          <w:p w14:paraId="51E38238" w14:textId="77777777" w:rsidR="00151DC7" w:rsidRPr="00151DC7" w:rsidRDefault="00151DC7" w:rsidP="008A1BEF">
            <w:pPr>
              <w:pStyle w:val="Bezmezer"/>
            </w:pPr>
          </w:p>
        </w:tc>
        <w:tc>
          <w:tcPr>
            <w:tcW w:w="1812" w:type="dxa"/>
          </w:tcPr>
          <w:p w14:paraId="20078F6A" w14:textId="77777777" w:rsidR="00151DC7" w:rsidRPr="00151DC7" w:rsidRDefault="00151DC7" w:rsidP="008A1BEF">
            <w:pPr>
              <w:pStyle w:val="Bezmezer"/>
            </w:pPr>
          </w:p>
        </w:tc>
        <w:tc>
          <w:tcPr>
            <w:tcW w:w="1813" w:type="dxa"/>
          </w:tcPr>
          <w:p w14:paraId="5D158CA7" w14:textId="77777777" w:rsidR="00151DC7" w:rsidRPr="00151DC7" w:rsidRDefault="00151DC7" w:rsidP="008A1BEF">
            <w:pPr>
              <w:pStyle w:val="Bezmezer"/>
            </w:pPr>
          </w:p>
        </w:tc>
        <w:tc>
          <w:tcPr>
            <w:tcW w:w="1813" w:type="dxa"/>
          </w:tcPr>
          <w:p w14:paraId="1EC1D6E2" w14:textId="09E9A2E6" w:rsidR="00151DC7" w:rsidRPr="00151DC7" w:rsidRDefault="00151DC7" w:rsidP="008A1BEF">
            <w:pPr>
              <w:pStyle w:val="Bezmezer"/>
            </w:pPr>
            <w:r w:rsidRPr="00151DC7">
              <w:t>96 500,00</w:t>
            </w:r>
          </w:p>
        </w:tc>
      </w:tr>
    </w:tbl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51DC7" w14:paraId="2F3069E6" w14:textId="77777777" w:rsidTr="00714F2F">
        <w:tc>
          <w:tcPr>
            <w:tcW w:w="1812" w:type="dxa"/>
          </w:tcPr>
          <w:p w14:paraId="12CFE924" w14:textId="77777777" w:rsidR="00151DC7" w:rsidRDefault="00151DC7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151DC7" w:rsidRDefault="00151DC7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151DC7" w:rsidRDefault="00151DC7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3FDDD7D9" w14:textId="380E8CC6" w:rsidR="00151DC7" w:rsidRDefault="00151DC7" w:rsidP="008A1BEF">
            <w:pPr>
              <w:pStyle w:val="Bezmezer"/>
            </w:pPr>
            <w:r>
              <w:t>UZ</w:t>
            </w:r>
          </w:p>
        </w:tc>
        <w:tc>
          <w:tcPr>
            <w:tcW w:w="1813" w:type="dxa"/>
          </w:tcPr>
          <w:p w14:paraId="40C70C52" w14:textId="73D4A57E" w:rsidR="00151DC7" w:rsidRDefault="00151DC7" w:rsidP="008A1BEF">
            <w:pPr>
              <w:pStyle w:val="Bezmezer"/>
            </w:pPr>
            <w:r>
              <w:t>Rozpočtové opatření</w:t>
            </w:r>
          </w:p>
        </w:tc>
      </w:tr>
      <w:tr w:rsidR="00151DC7" w14:paraId="35D8F814" w14:textId="77777777" w:rsidTr="00714F2F">
        <w:tc>
          <w:tcPr>
            <w:tcW w:w="1812" w:type="dxa"/>
          </w:tcPr>
          <w:p w14:paraId="6F5B7AA9" w14:textId="2E3DF021" w:rsidR="00151DC7" w:rsidRDefault="00151DC7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53731C5C" w:rsidR="00151DC7" w:rsidRDefault="00151DC7" w:rsidP="008A1BEF">
            <w:pPr>
              <w:pStyle w:val="Bezmezer"/>
            </w:pPr>
            <w:r>
              <w:t>3639</w:t>
            </w:r>
          </w:p>
        </w:tc>
        <w:tc>
          <w:tcPr>
            <w:tcW w:w="1812" w:type="dxa"/>
          </w:tcPr>
          <w:p w14:paraId="2715A705" w14:textId="44251029" w:rsidR="00151DC7" w:rsidRDefault="00151DC7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A28A80F" w14:textId="7E7F6802" w:rsidR="00151DC7" w:rsidRDefault="00151DC7" w:rsidP="008A1BEF">
            <w:pPr>
              <w:pStyle w:val="Bezmezer"/>
            </w:pPr>
            <w:r>
              <w:t>13101</w:t>
            </w:r>
          </w:p>
        </w:tc>
        <w:tc>
          <w:tcPr>
            <w:tcW w:w="1813" w:type="dxa"/>
          </w:tcPr>
          <w:p w14:paraId="04B52F01" w14:textId="3E8755D2" w:rsidR="00151DC7" w:rsidRDefault="00151DC7" w:rsidP="008A1BEF">
            <w:pPr>
              <w:pStyle w:val="Bezmezer"/>
            </w:pPr>
            <w:r>
              <w:t>67 500,00</w:t>
            </w:r>
          </w:p>
        </w:tc>
      </w:tr>
      <w:tr w:rsidR="00151DC7" w14:paraId="022A5005" w14:textId="77777777" w:rsidTr="00714F2F">
        <w:tc>
          <w:tcPr>
            <w:tcW w:w="1812" w:type="dxa"/>
          </w:tcPr>
          <w:p w14:paraId="5FB1F260" w14:textId="77777777" w:rsidR="00151DC7" w:rsidRDefault="00151DC7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8AC4848" w14:textId="5D59B767" w:rsidR="00151DC7" w:rsidRDefault="00151DC7" w:rsidP="008A1BEF">
            <w:pPr>
              <w:pStyle w:val="Bezmezer"/>
            </w:pPr>
            <w:r>
              <w:t>6117</w:t>
            </w:r>
          </w:p>
        </w:tc>
        <w:tc>
          <w:tcPr>
            <w:tcW w:w="1812" w:type="dxa"/>
          </w:tcPr>
          <w:p w14:paraId="145DD238" w14:textId="77777777" w:rsidR="00151DC7" w:rsidRDefault="00151DC7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7F66D1C8" w14:textId="28013246" w:rsidR="00151DC7" w:rsidRPr="00151DC7" w:rsidRDefault="00151DC7" w:rsidP="008A1BEF">
            <w:pPr>
              <w:pStyle w:val="Bezmezer"/>
              <w:rPr>
                <w:color w:val="000000" w:themeColor="text1"/>
              </w:rPr>
            </w:pPr>
            <w:r w:rsidRPr="00151DC7">
              <w:rPr>
                <w:color w:val="000000" w:themeColor="text1"/>
              </w:rPr>
              <w:t>98348</w:t>
            </w:r>
          </w:p>
        </w:tc>
        <w:tc>
          <w:tcPr>
            <w:tcW w:w="1813" w:type="dxa"/>
          </w:tcPr>
          <w:p w14:paraId="6E565C92" w14:textId="2CF04644" w:rsidR="00151DC7" w:rsidRPr="00151DC7" w:rsidRDefault="00151DC7" w:rsidP="008A1BEF">
            <w:pPr>
              <w:pStyle w:val="Bezmezer"/>
              <w:rPr>
                <w:color w:val="000000" w:themeColor="text1"/>
              </w:rPr>
            </w:pPr>
            <w:r w:rsidRPr="00151DC7">
              <w:rPr>
                <w:color w:val="000000" w:themeColor="text1"/>
              </w:rPr>
              <w:t>29 000,00</w:t>
            </w:r>
          </w:p>
        </w:tc>
      </w:tr>
      <w:tr w:rsidR="00151DC7" w14:paraId="68F5F0F1" w14:textId="77777777" w:rsidTr="00714F2F">
        <w:tc>
          <w:tcPr>
            <w:tcW w:w="1812" w:type="dxa"/>
          </w:tcPr>
          <w:p w14:paraId="6A7042B7" w14:textId="69C36176" w:rsidR="00151DC7" w:rsidRDefault="00151DC7" w:rsidP="008A1BEF">
            <w:pPr>
              <w:pStyle w:val="Bezmezer"/>
            </w:pPr>
            <w:r>
              <w:t>Celkem</w:t>
            </w:r>
          </w:p>
        </w:tc>
        <w:tc>
          <w:tcPr>
            <w:tcW w:w="1812" w:type="dxa"/>
          </w:tcPr>
          <w:p w14:paraId="6FBC4650" w14:textId="77777777" w:rsidR="00151DC7" w:rsidRDefault="00151DC7" w:rsidP="008A1BEF">
            <w:pPr>
              <w:pStyle w:val="Bezmezer"/>
            </w:pPr>
          </w:p>
        </w:tc>
        <w:tc>
          <w:tcPr>
            <w:tcW w:w="1812" w:type="dxa"/>
          </w:tcPr>
          <w:p w14:paraId="24E2511E" w14:textId="77777777" w:rsidR="00151DC7" w:rsidRDefault="00151DC7" w:rsidP="008A1BEF">
            <w:pPr>
              <w:pStyle w:val="Bezmezer"/>
            </w:pPr>
          </w:p>
        </w:tc>
        <w:tc>
          <w:tcPr>
            <w:tcW w:w="1813" w:type="dxa"/>
          </w:tcPr>
          <w:p w14:paraId="194EAEAA" w14:textId="77777777" w:rsidR="00151DC7" w:rsidRPr="00151DC7" w:rsidRDefault="00151DC7" w:rsidP="008A1BEF">
            <w:pPr>
              <w:pStyle w:val="Bezmezer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14:paraId="7A8F5D29" w14:textId="4524C97B" w:rsidR="00151DC7" w:rsidRPr="00151DC7" w:rsidRDefault="00151DC7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96 500,00</w:t>
            </w:r>
          </w:p>
        </w:tc>
      </w:tr>
    </w:tbl>
    <w:p w14:paraId="0B814684" w14:textId="77777777" w:rsidR="00D97890" w:rsidRDefault="00D97890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453068B3" w:rsidR="00A329A6" w:rsidRDefault="00A329A6" w:rsidP="008A1BEF">
      <w:pPr>
        <w:pStyle w:val="Bezmezer"/>
      </w:pPr>
      <w:r>
        <w:t xml:space="preserve">P – </w:t>
      </w:r>
      <w:r w:rsidR="00151DC7">
        <w:t>7 367 841,86 Kč</w:t>
      </w:r>
    </w:p>
    <w:p w14:paraId="0873C737" w14:textId="1F9E6E6D" w:rsidR="00A329A6" w:rsidRDefault="00A329A6" w:rsidP="008A1BEF">
      <w:pPr>
        <w:pStyle w:val="Bezmezer"/>
      </w:pPr>
      <w:r>
        <w:t xml:space="preserve">V – </w:t>
      </w:r>
      <w:r w:rsidR="00151DC7">
        <w:t>7 408 500,97 Kč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135E2A2A" w14:textId="77777777" w:rsidR="00A329A6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02618D82" w:rsidR="00A329A6" w:rsidRDefault="00151DC7" w:rsidP="008A1BEF">
      <w:pPr>
        <w:pStyle w:val="Bezmezer"/>
      </w:pPr>
      <w:r>
        <w:t>15.05.2019                                                                                15.05.2019</w:t>
      </w:r>
    </w:p>
    <w:p w14:paraId="54D94544" w14:textId="70313F41" w:rsidR="00A329A6" w:rsidRDefault="00A329A6" w:rsidP="008A1BEF">
      <w:pPr>
        <w:pStyle w:val="Bezmezer"/>
      </w:pPr>
      <w:r>
        <w:t xml:space="preserve">Vyvěšeno dne </w:t>
      </w:r>
      <w:r w:rsidR="00151DC7">
        <w:t xml:space="preserve">15.05.2019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19631E"/>
    <w:rsid w:val="00206BF1"/>
    <w:rsid w:val="00472FCF"/>
    <w:rsid w:val="00627BEA"/>
    <w:rsid w:val="00682408"/>
    <w:rsid w:val="006A0BC7"/>
    <w:rsid w:val="008A1BEF"/>
    <w:rsid w:val="009448D7"/>
    <w:rsid w:val="009B35EB"/>
    <w:rsid w:val="00A329A6"/>
    <w:rsid w:val="00AA75F8"/>
    <w:rsid w:val="00AC68E5"/>
    <w:rsid w:val="00C37C5A"/>
    <w:rsid w:val="00D46CFD"/>
    <w:rsid w:val="00D97890"/>
    <w:rsid w:val="00E5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2019-05-15T08:03:00Z</cp:lastPrinted>
  <dcterms:created xsi:type="dcterms:W3CDTF">2019-03-18T09:56:00Z</dcterms:created>
  <dcterms:modified xsi:type="dcterms:W3CDTF">2019-05-15T08:03:00Z</dcterms:modified>
</cp:coreProperties>
</file>